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AC6" w:rsidRPr="0024339F" w:rsidRDefault="00336AC6" w:rsidP="00336AC6">
      <w:pPr>
        <w:tabs>
          <w:tab w:val="left" w:pos="4020"/>
        </w:tabs>
        <w:jc w:val="center"/>
        <w:rPr>
          <w:b/>
          <w:sz w:val="24"/>
        </w:rPr>
      </w:pPr>
      <w:r w:rsidRPr="0024339F">
        <w:rPr>
          <w:b/>
          <w:sz w:val="24"/>
        </w:rPr>
        <w:t>OUVRIR UN COMPTE BANCAIRE EN FRANCE</w:t>
      </w:r>
    </w:p>
    <w:p w:rsidR="00336AC6" w:rsidRPr="0024339F" w:rsidRDefault="00336AC6" w:rsidP="00336AC6">
      <w:pPr>
        <w:tabs>
          <w:tab w:val="left" w:pos="4020"/>
        </w:tabs>
        <w:jc w:val="center"/>
        <w:rPr>
          <w:b/>
          <w:sz w:val="24"/>
        </w:rPr>
      </w:pPr>
      <w:r w:rsidRPr="0024339F">
        <w:rPr>
          <w:b/>
          <w:sz w:val="24"/>
        </w:rPr>
        <w:t>ÉTUDIANTS</w:t>
      </w:r>
    </w:p>
    <w:p w:rsidR="004D7D17" w:rsidRDefault="00E2449D" w:rsidP="005F1704">
      <w:pPr>
        <w:tabs>
          <w:tab w:val="left" w:pos="4020"/>
        </w:tabs>
      </w:pPr>
      <w:r>
        <w:t>Quand vous arrivez en France, que vous souhaitiez avoir un emploi étudiant ou non, il vous faudra un compte bancaire français !</w:t>
      </w:r>
    </w:p>
    <w:p w:rsidR="002268A8" w:rsidRDefault="00E2449D" w:rsidP="005F1704">
      <w:pPr>
        <w:tabs>
          <w:tab w:val="left" w:pos="4020"/>
        </w:tabs>
      </w:pPr>
      <w:r>
        <w:t xml:space="preserve">Il vous permettra de recevoir vos rémunérations (en cas de stage, par exemple), vos remboursements de frais de santé, mais aussi de </w:t>
      </w:r>
      <w:r w:rsidR="004D7D17">
        <w:t>justifier de vos</w:t>
      </w:r>
      <w:r>
        <w:t xml:space="preserve"> ressources</w:t>
      </w:r>
      <w:r w:rsidR="007A0B83">
        <w:t xml:space="preserve"> pour votre demande de titre de séjour</w:t>
      </w:r>
      <w:r>
        <w:t>.</w:t>
      </w:r>
    </w:p>
    <w:p w:rsidR="004D7D17" w:rsidRDefault="00E2449D" w:rsidP="005F1704">
      <w:pPr>
        <w:tabs>
          <w:tab w:val="left" w:pos="4020"/>
        </w:tabs>
      </w:pPr>
      <w:r>
        <w:t xml:space="preserve">Mais </w:t>
      </w:r>
      <w:r w:rsidR="004D7D17">
        <w:t>trouver une banque</w:t>
      </w:r>
      <w:r w:rsidR="00A8328B">
        <w:t xml:space="preserve"> peut être compliqué </w:t>
      </w:r>
      <w:r w:rsidR="007A0B83">
        <w:t>quand on ne connaît pas les pratiques du pays</w:t>
      </w:r>
      <w:r w:rsidR="007A0B83">
        <w:t xml:space="preserve"> </w:t>
      </w:r>
      <w:r w:rsidR="00A8328B">
        <w:t xml:space="preserve">! </w:t>
      </w:r>
    </w:p>
    <w:p w:rsidR="00A8328B" w:rsidRDefault="00A8328B" w:rsidP="005F1704">
      <w:pPr>
        <w:tabs>
          <w:tab w:val="left" w:pos="4020"/>
        </w:tabs>
      </w:pPr>
      <w:r>
        <w:t>Le guide ci-dessous vous aidera à y voir plus clair, en vous présentant quelques éléments de comparaison entre banque</w:t>
      </w:r>
      <w:r w:rsidR="007A0B83">
        <w:t>s</w:t>
      </w:r>
      <w:r>
        <w:t xml:space="preserve"> et les documents à préparer pour y ouvrir un compte.</w:t>
      </w:r>
    </w:p>
    <w:p w:rsidR="004D7D17" w:rsidRDefault="004D7D17" w:rsidP="004D7D17">
      <w:pPr>
        <w:tabs>
          <w:tab w:val="left" w:pos="4020"/>
        </w:tabs>
      </w:pPr>
      <w:r w:rsidRPr="004D7D17">
        <w:rPr>
          <w:u w:val="single"/>
        </w:rPr>
        <w:t>Attention</w:t>
      </w:r>
      <w:r>
        <w:t> :</w:t>
      </w:r>
      <w:r>
        <w:t xml:space="preserve"> </w:t>
      </w:r>
      <w:r w:rsidRPr="00B2422C">
        <w:rPr>
          <w:b/>
        </w:rPr>
        <w:t>Si vous êtes mineur</w:t>
      </w:r>
      <w:r>
        <w:t>, il n’est pas possible d’ouvrir un compte bancaire, vous devez attendre vos 18 ans.</w:t>
      </w:r>
      <w:r w:rsidR="007A0B83">
        <w:t xml:space="preserve"> Pensez à contacter le CMI pour votre demande de titre étudiant deux mois avant vos 18 ans.</w:t>
      </w:r>
    </w:p>
    <w:p w:rsidR="00A8328B" w:rsidRDefault="00A8328B" w:rsidP="005F1704">
      <w:pPr>
        <w:tabs>
          <w:tab w:val="left" w:pos="4020"/>
        </w:tabs>
      </w:pPr>
    </w:p>
    <w:p w:rsidR="002268A8" w:rsidRPr="00994E13" w:rsidRDefault="002268A8" w:rsidP="002268A8">
      <w:pPr>
        <w:pStyle w:val="Paragraphedeliste"/>
        <w:numPr>
          <w:ilvl w:val="0"/>
          <w:numId w:val="1"/>
        </w:numPr>
        <w:tabs>
          <w:tab w:val="left" w:pos="4020"/>
        </w:tabs>
        <w:rPr>
          <w:b/>
          <w:sz w:val="24"/>
        </w:rPr>
      </w:pPr>
      <w:r w:rsidRPr="00994E13">
        <w:rPr>
          <w:b/>
          <w:sz w:val="24"/>
        </w:rPr>
        <w:t>QUELLE BANQUE </w:t>
      </w:r>
      <w:r w:rsidR="00A8328B">
        <w:rPr>
          <w:b/>
          <w:sz w:val="24"/>
        </w:rPr>
        <w:t xml:space="preserve">CHOISIR </w:t>
      </w:r>
      <w:r w:rsidRPr="00994E13">
        <w:rPr>
          <w:b/>
          <w:sz w:val="24"/>
        </w:rPr>
        <w:t>?</w:t>
      </w:r>
    </w:p>
    <w:p w:rsidR="00A8328B" w:rsidRDefault="00A8328B" w:rsidP="002268A8">
      <w:pPr>
        <w:tabs>
          <w:tab w:val="left" w:pos="4020"/>
        </w:tabs>
      </w:pPr>
    </w:p>
    <w:p w:rsidR="002268A8" w:rsidRDefault="002268A8" w:rsidP="002268A8">
      <w:pPr>
        <w:tabs>
          <w:tab w:val="left" w:pos="4020"/>
        </w:tabs>
      </w:pPr>
      <w:r>
        <w:t xml:space="preserve">Privilégiez les banques qui ont une agence </w:t>
      </w:r>
      <w:r w:rsidR="00B2422C">
        <w:t xml:space="preserve">facilement accessible, </w:t>
      </w:r>
      <w:r>
        <w:t xml:space="preserve">pour </w:t>
      </w:r>
      <w:r w:rsidR="007A0B83">
        <w:t>simplifier</w:t>
      </w:r>
      <w:r>
        <w:t xml:space="preserve"> vos démarches en cas de problème.</w:t>
      </w:r>
      <w:r w:rsidR="004D7D17">
        <w:t xml:space="preserve"> Si vous n’êtes pas encore très à l’aise en français, le contact face-à-face facilite toujours la communication et évite les malentendus.</w:t>
      </w:r>
    </w:p>
    <w:p w:rsidR="002268A8" w:rsidRDefault="00D94BD2" w:rsidP="002268A8">
      <w:pPr>
        <w:tabs>
          <w:tab w:val="left" w:pos="4020"/>
        </w:tabs>
      </w:pPr>
      <w:r>
        <w:t>Vous ne pourrez pas utiliser les banques 100 % en ligne, car elles exigent la présentation d’un RIB français ou européen dans la majorité des cas</w:t>
      </w:r>
      <w:r w:rsidR="00A8328B">
        <w:t>, ce que vous n’avez évidemment pas encore !</w:t>
      </w:r>
    </w:p>
    <w:p w:rsidR="004D7D17" w:rsidRDefault="002268A8" w:rsidP="00336AC6">
      <w:pPr>
        <w:tabs>
          <w:tab w:val="left" w:pos="4020"/>
        </w:tabs>
      </w:pPr>
      <w:r>
        <w:t>N’hésitez pas à comparer grâce aux comparateurs en ligne.</w:t>
      </w:r>
      <w:r w:rsidR="00A8328B">
        <w:t xml:space="preserve"> La grande majorité des banques propose des offres Jeunes/Étudiants avec des tarifs plus intéressants qu’un compte classique.</w:t>
      </w:r>
      <w:r w:rsidR="004D7D17">
        <w:t xml:space="preserve"> </w:t>
      </w:r>
    </w:p>
    <w:p w:rsidR="00336AC6" w:rsidRDefault="004D7D17" w:rsidP="00336AC6">
      <w:pPr>
        <w:tabs>
          <w:tab w:val="left" w:pos="4020"/>
        </w:tabs>
      </w:pPr>
      <w:r>
        <w:t>Demandez aussi à vos camarades de classe quelle banque ils ont choisi et à quel tarif. Vous n’êtes pas obligé de faire comme eux, mais il est utile d’avoir une base sur laquelle comparer.</w:t>
      </w:r>
    </w:p>
    <w:p w:rsidR="00A8328B" w:rsidRDefault="00A8328B" w:rsidP="00336AC6">
      <w:pPr>
        <w:tabs>
          <w:tab w:val="left" w:pos="4020"/>
        </w:tabs>
      </w:pPr>
      <w:r>
        <w:t xml:space="preserve">Si vous </w:t>
      </w:r>
      <w:r w:rsidR="007A0B83">
        <w:t>recevez</w:t>
      </w:r>
      <w:r>
        <w:t xml:space="preserve"> des virements réguliers de vos garants/parents à l’étranger, il est important de regarder les frais appliqués pour les virements provenant de l’étranger, surtout hors-Europe/zone SEPA (Single Euro Payments Area = Espace uniquement de paiement en euros).</w:t>
      </w:r>
    </w:p>
    <w:p w:rsidR="004D7D17" w:rsidRDefault="004D7D17">
      <w:r>
        <w:br w:type="page"/>
      </w:r>
    </w:p>
    <w:p w:rsidR="00FA31F7" w:rsidRDefault="00FA31F7" w:rsidP="007A6013">
      <w:pPr>
        <w:tabs>
          <w:tab w:val="left" w:pos="4020"/>
        </w:tabs>
        <w:rPr>
          <w:u w:val="single"/>
        </w:rPr>
      </w:pPr>
    </w:p>
    <w:p w:rsidR="007A6013" w:rsidRDefault="006C4E51" w:rsidP="007A6013">
      <w:pPr>
        <w:tabs>
          <w:tab w:val="left" w:pos="4020"/>
        </w:tabs>
      </w:pPr>
      <w:r w:rsidRPr="004D7D17">
        <w:rPr>
          <w:u w:val="single"/>
        </w:rPr>
        <w:t>Tableau comparatif entre quelques banques</w:t>
      </w:r>
      <w:r>
        <w:t> :</w:t>
      </w:r>
    </w:p>
    <w:tbl>
      <w:tblPr>
        <w:tblStyle w:val="Grilledutableau"/>
        <w:tblpPr w:leftFromText="141" w:rightFromText="141" w:vertAnchor="page" w:horzAnchor="margin" w:tblpY="2731"/>
        <w:tblW w:w="8959" w:type="dxa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2868"/>
      </w:tblGrid>
      <w:tr w:rsidR="004D7D17" w:rsidTr="00FA31F7">
        <w:trPr>
          <w:trHeight w:val="642"/>
        </w:trPr>
        <w:tc>
          <w:tcPr>
            <w:tcW w:w="1413" w:type="dxa"/>
          </w:tcPr>
          <w:p w:rsidR="004D7D17" w:rsidRPr="007A6013" w:rsidRDefault="004D7D17" w:rsidP="00FA31F7">
            <w:pPr>
              <w:tabs>
                <w:tab w:val="left" w:pos="4020"/>
              </w:tabs>
              <w:rPr>
                <w:b/>
              </w:rPr>
            </w:pPr>
            <w:r w:rsidRPr="007A6013">
              <w:rPr>
                <w:b/>
              </w:rPr>
              <w:t>BANQUE</w:t>
            </w:r>
          </w:p>
        </w:tc>
        <w:tc>
          <w:tcPr>
            <w:tcW w:w="2410" w:type="dxa"/>
          </w:tcPr>
          <w:p w:rsidR="004D7D17" w:rsidRPr="007A6013" w:rsidRDefault="004D7D17" w:rsidP="00FA31F7">
            <w:pPr>
              <w:tabs>
                <w:tab w:val="left" w:pos="4020"/>
              </w:tabs>
              <w:rPr>
                <w:b/>
              </w:rPr>
            </w:pPr>
            <w:r w:rsidRPr="007A6013">
              <w:rPr>
                <w:b/>
              </w:rPr>
              <w:t xml:space="preserve">FRAIS </w:t>
            </w:r>
            <w:r>
              <w:rPr>
                <w:b/>
              </w:rPr>
              <w:t xml:space="preserve">DE </w:t>
            </w:r>
            <w:r w:rsidRPr="007A6013">
              <w:rPr>
                <w:b/>
              </w:rPr>
              <w:t>GESTION DE COMPTE</w:t>
            </w:r>
          </w:p>
        </w:tc>
        <w:tc>
          <w:tcPr>
            <w:tcW w:w="2268" w:type="dxa"/>
          </w:tcPr>
          <w:p w:rsidR="004D7D17" w:rsidRPr="007A6013" w:rsidRDefault="004D7D17" w:rsidP="00FA31F7">
            <w:pPr>
              <w:tabs>
                <w:tab w:val="left" w:pos="4020"/>
              </w:tabs>
              <w:rPr>
                <w:b/>
              </w:rPr>
            </w:pPr>
            <w:r w:rsidRPr="007A6013">
              <w:rPr>
                <w:b/>
              </w:rPr>
              <w:t xml:space="preserve">FRAIS VIREMENT </w:t>
            </w:r>
            <w:r>
              <w:rPr>
                <w:b/>
              </w:rPr>
              <w:t xml:space="preserve">DE </w:t>
            </w:r>
            <w:r w:rsidRPr="007A6013">
              <w:rPr>
                <w:b/>
              </w:rPr>
              <w:t>L’ÉTRANGER</w:t>
            </w:r>
          </w:p>
        </w:tc>
        <w:tc>
          <w:tcPr>
            <w:tcW w:w="2868" w:type="dxa"/>
          </w:tcPr>
          <w:p w:rsidR="004D7D17" w:rsidRPr="007A6013" w:rsidRDefault="004D7D17" w:rsidP="00FA31F7">
            <w:pPr>
              <w:tabs>
                <w:tab w:val="left" w:pos="4020"/>
              </w:tabs>
              <w:rPr>
                <w:b/>
              </w:rPr>
            </w:pPr>
            <w:r>
              <w:rPr>
                <w:b/>
              </w:rPr>
              <w:t>AGENCE À BREST ?</w:t>
            </w:r>
          </w:p>
        </w:tc>
      </w:tr>
      <w:tr w:rsidR="004D7D17" w:rsidTr="00FA31F7">
        <w:trPr>
          <w:trHeight w:val="626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Crédit Agricole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2 €/mois avec la carte Eko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14,40 € par virement reçu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une dizaine sur différents quartiers</w:t>
            </w:r>
          </w:p>
        </w:tc>
      </w:tr>
      <w:tr w:rsidR="004D7D17" w:rsidTr="00FA31F7">
        <w:trPr>
          <w:trHeight w:val="918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 xml:space="preserve">BNP Paribas 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Gratuit si 1 utilisation de la carte/mois avec Offre Étudiante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10 € pour réception de virement depuis l’étranger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3.</w:t>
            </w:r>
          </w:p>
        </w:tc>
      </w:tr>
      <w:tr w:rsidR="004D7D17" w:rsidTr="00FA31F7">
        <w:trPr>
          <w:trHeight w:val="686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Crédit Mutuel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Offre 18-25 ans à partir de 3,35 €/mois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14,75 € par virement reçu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6.</w:t>
            </w:r>
          </w:p>
        </w:tc>
      </w:tr>
      <w:tr w:rsidR="004D7D17" w:rsidTr="00FA31F7">
        <w:trPr>
          <w:trHeight w:val="630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Société Générale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Pas de frais de tenue de compte jusqu’à 25 ans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19 € par virement reçu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2.</w:t>
            </w:r>
          </w:p>
        </w:tc>
      </w:tr>
      <w:tr w:rsidR="004D7D17" w:rsidTr="00FA31F7">
        <w:trPr>
          <w:trHeight w:val="682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LCL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1 €/mois pour les étudiants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18,60 € par virement reçu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3.</w:t>
            </w:r>
          </w:p>
        </w:tc>
      </w:tr>
      <w:tr w:rsidR="004D7D17" w:rsidTr="00FA31F7">
        <w:trPr>
          <w:trHeight w:val="706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Banque postale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2,50 €/mois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13,50 € par virement reçu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7.</w:t>
            </w:r>
          </w:p>
        </w:tc>
      </w:tr>
      <w:tr w:rsidR="004D7D17" w:rsidTr="00FA31F7">
        <w:trPr>
          <w:trHeight w:val="703"/>
        </w:trPr>
        <w:tc>
          <w:tcPr>
            <w:tcW w:w="1413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Banque populaire</w:t>
            </w:r>
          </w:p>
        </w:tc>
        <w:tc>
          <w:tcPr>
            <w:tcW w:w="2410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1€/mois avec Cristal Jeunes</w:t>
            </w:r>
          </w:p>
        </w:tc>
        <w:tc>
          <w:tcPr>
            <w:tcW w:w="22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20,40 € par virement reçu</w:t>
            </w:r>
          </w:p>
        </w:tc>
        <w:tc>
          <w:tcPr>
            <w:tcW w:w="2868" w:type="dxa"/>
          </w:tcPr>
          <w:p w:rsidR="004D7D17" w:rsidRDefault="004D7D17" w:rsidP="00FA31F7">
            <w:pPr>
              <w:tabs>
                <w:tab w:val="left" w:pos="4020"/>
              </w:tabs>
            </w:pPr>
            <w:r>
              <w:t>Oui, 3.</w:t>
            </w:r>
          </w:p>
        </w:tc>
      </w:tr>
    </w:tbl>
    <w:p w:rsidR="004D7D17" w:rsidRDefault="004D7D17" w:rsidP="00336AC6">
      <w:pPr>
        <w:tabs>
          <w:tab w:val="left" w:pos="4020"/>
        </w:tabs>
      </w:pPr>
    </w:p>
    <w:p w:rsidR="007A0B83" w:rsidRDefault="007A0B83" w:rsidP="00336AC6">
      <w:pPr>
        <w:tabs>
          <w:tab w:val="left" w:pos="4020"/>
        </w:tabs>
      </w:pPr>
      <w:r>
        <w:t>(Ces tarifs sont indicatifs et peuvent varier selon les options choisies.)</w:t>
      </w:r>
      <w:bookmarkStart w:id="0" w:name="_GoBack"/>
      <w:bookmarkEnd w:id="0"/>
    </w:p>
    <w:p w:rsidR="006C4E51" w:rsidRPr="004D7D17" w:rsidRDefault="006C4E51" w:rsidP="006C4E51">
      <w:pPr>
        <w:pStyle w:val="Paragraphedeliste"/>
        <w:numPr>
          <w:ilvl w:val="0"/>
          <w:numId w:val="1"/>
        </w:numPr>
        <w:tabs>
          <w:tab w:val="left" w:pos="4020"/>
        </w:tabs>
        <w:rPr>
          <w:b/>
          <w:sz w:val="24"/>
        </w:rPr>
      </w:pPr>
      <w:r w:rsidRPr="004D7D17">
        <w:rPr>
          <w:b/>
          <w:sz w:val="24"/>
        </w:rPr>
        <w:t>COMMENT </w:t>
      </w:r>
      <w:r w:rsidR="004D7D17">
        <w:rPr>
          <w:b/>
          <w:sz w:val="24"/>
        </w:rPr>
        <w:t xml:space="preserve">OUVRIR UN COMPTE </w:t>
      </w:r>
      <w:r w:rsidRPr="004D7D17">
        <w:rPr>
          <w:b/>
          <w:sz w:val="24"/>
        </w:rPr>
        <w:t>?</w:t>
      </w:r>
    </w:p>
    <w:p w:rsidR="007B020E" w:rsidRDefault="007B020E" w:rsidP="00336AC6">
      <w:pPr>
        <w:tabs>
          <w:tab w:val="left" w:pos="4020"/>
        </w:tabs>
      </w:pPr>
      <w:r>
        <w:t xml:space="preserve">Vous devrez passer à l’une des agences </w:t>
      </w:r>
      <w:r w:rsidR="006C4E51">
        <w:t xml:space="preserve">de la banque que vous avez choisie pour </w:t>
      </w:r>
      <w:r w:rsidR="0068620B">
        <w:t>conclure l’ouverture de votre compte et signer le contrat. Il n’est en général pas possible de signer en ligne pour les étudiants étrangers.</w:t>
      </w:r>
    </w:p>
    <w:p w:rsidR="00336AC6" w:rsidRDefault="00336AC6" w:rsidP="00336AC6">
      <w:pPr>
        <w:tabs>
          <w:tab w:val="left" w:pos="4020"/>
        </w:tabs>
      </w:pPr>
      <w:r>
        <w:t>Documents</w:t>
      </w:r>
      <w:r w:rsidR="008D5384">
        <w:t xml:space="preserve"> nécessaires :</w:t>
      </w:r>
    </w:p>
    <w:p w:rsidR="008D5384" w:rsidRDefault="008D5384" w:rsidP="008D5384">
      <w:pPr>
        <w:pStyle w:val="Paragraphedeliste"/>
        <w:numPr>
          <w:ilvl w:val="0"/>
          <w:numId w:val="2"/>
        </w:numPr>
        <w:tabs>
          <w:tab w:val="left" w:pos="4020"/>
        </w:tabs>
      </w:pPr>
      <w:r>
        <w:t>Passeport valide OU titre de séjour valide</w:t>
      </w:r>
    </w:p>
    <w:p w:rsidR="008D5384" w:rsidRDefault="008D5384" w:rsidP="008D5384">
      <w:pPr>
        <w:pStyle w:val="Paragraphedeliste"/>
        <w:numPr>
          <w:ilvl w:val="0"/>
          <w:numId w:val="2"/>
        </w:numPr>
        <w:tabs>
          <w:tab w:val="left" w:pos="4020"/>
        </w:tabs>
      </w:pPr>
      <w:r>
        <w:t>Justificatif de domicile de moins de 3 mois</w:t>
      </w:r>
      <w:r w:rsidR="004D7D17">
        <w:t xml:space="preserve"> (bail, facture d’eau, de gaz ou d’électricité, attestation d’assurance habitation…)</w:t>
      </w:r>
    </w:p>
    <w:p w:rsidR="002268A8" w:rsidRDefault="008D5384" w:rsidP="00662E3F">
      <w:pPr>
        <w:pStyle w:val="Paragraphedeliste"/>
        <w:numPr>
          <w:ilvl w:val="0"/>
          <w:numId w:val="2"/>
        </w:numPr>
        <w:tabs>
          <w:tab w:val="left" w:pos="4020"/>
        </w:tabs>
      </w:pPr>
      <w:r>
        <w:t>Certificat de scolarité</w:t>
      </w:r>
    </w:p>
    <w:p w:rsidR="004D7D17" w:rsidRDefault="004D7D17" w:rsidP="004D7D17">
      <w:pPr>
        <w:tabs>
          <w:tab w:val="left" w:pos="4020"/>
        </w:tabs>
      </w:pPr>
      <w:r>
        <w:t>On vous demandera de fournir un « spécimen » de votre signature : un modèle de votre signature pour que la banque puisse vérifier les chèques que vous transmettrez.</w:t>
      </w:r>
      <w:r w:rsidR="00653AE5">
        <w:t xml:space="preserve"> Une fois le contrat signé, votre compte est créé ! Vous pouvez commencer à y verser de l’argent ou à mettre en place des virements.</w:t>
      </w:r>
    </w:p>
    <w:p w:rsidR="00653AE5" w:rsidRDefault="00653AE5">
      <w:r>
        <w:br w:type="page"/>
      </w:r>
    </w:p>
    <w:p w:rsidR="00653AE5" w:rsidRDefault="00653AE5" w:rsidP="004D7D17">
      <w:pPr>
        <w:tabs>
          <w:tab w:val="left" w:pos="4020"/>
        </w:tabs>
      </w:pPr>
    </w:p>
    <w:p w:rsidR="00653AE5" w:rsidRPr="00653AE5" w:rsidRDefault="00653AE5" w:rsidP="00653AE5">
      <w:pPr>
        <w:pStyle w:val="Paragraphedeliste"/>
        <w:numPr>
          <w:ilvl w:val="0"/>
          <w:numId w:val="1"/>
        </w:numPr>
        <w:tabs>
          <w:tab w:val="left" w:pos="4020"/>
        </w:tabs>
        <w:rPr>
          <w:b/>
          <w:sz w:val="24"/>
        </w:rPr>
      </w:pPr>
      <w:r w:rsidRPr="00653AE5">
        <w:rPr>
          <w:b/>
          <w:sz w:val="24"/>
        </w:rPr>
        <w:t>GÉRER SON COMPTE</w:t>
      </w:r>
    </w:p>
    <w:p w:rsidR="00653AE5" w:rsidRDefault="00653AE5" w:rsidP="004D7D17">
      <w:pPr>
        <w:tabs>
          <w:tab w:val="left" w:pos="4020"/>
        </w:tabs>
      </w:pPr>
      <w:r>
        <w:t xml:space="preserve">La majorité des banques propose des applications mobiles pour gérer votre compte. Pour des raisons de sécurité informatique, nous vous conseillons de ne pas vous y connecter sur un réseau 4G ou Wi-Fi public. Préférez les réseaux privés des </w:t>
      </w:r>
      <w:proofErr w:type="spellStart"/>
      <w:r>
        <w:t>boxs</w:t>
      </w:r>
      <w:proofErr w:type="spellEnd"/>
      <w:r>
        <w:t xml:space="preserve"> internet.</w:t>
      </w:r>
    </w:p>
    <w:p w:rsidR="004D7D17" w:rsidRDefault="00772FB5" w:rsidP="004D7D17">
      <w:pPr>
        <w:tabs>
          <w:tab w:val="left" w:pos="4020"/>
        </w:tabs>
      </w:pPr>
      <w:r>
        <w:t>Les applications peuvent vous aider à gérer votre budget mensuel pour éviter de vous retrouver à découvert.</w:t>
      </w:r>
    </w:p>
    <w:p w:rsidR="00772FB5" w:rsidRDefault="00772FB5" w:rsidP="004D7D17">
      <w:pPr>
        <w:tabs>
          <w:tab w:val="left" w:pos="4020"/>
        </w:tabs>
      </w:pPr>
    </w:p>
    <w:p w:rsidR="00653AE5" w:rsidRPr="00653AE5" w:rsidRDefault="00653AE5" w:rsidP="00653AE5">
      <w:pPr>
        <w:pStyle w:val="Paragraphedeliste"/>
        <w:numPr>
          <w:ilvl w:val="0"/>
          <w:numId w:val="1"/>
        </w:numPr>
        <w:tabs>
          <w:tab w:val="left" w:pos="4020"/>
        </w:tabs>
        <w:rPr>
          <w:sz w:val="24"/>
        </w:rPr>
      </w:pPr>
      <w:r w:rsidRPr="00653AE5">
        <w:rPr>
          <w:b/>
          <w:sz w:val="24"/>
        </w:rPr>
        <w:t>ÉVITER LES ARNAQUES</w:t>
      </w:r>
    </w:p>
    <w:p w:rsidR="00653AE5" w:rsidRPr="00653AE5" w:rsidRDefault="00653AE5" w:rsidP="00653AE5">
      <w:pPr>
        <w:tabs>
          <w:tab w:val="left" w:pos="4020"/>
        </w:tabs>
      </w:pPr>
      <w:r>
        <w:t xml:space="preserve">Attention, de nombreuses arnaques bancaires existent en France. Votre conseiller ne vous appellera </w:t>
      </w:r>
      <w:r>
        <w:rPr>
          <w:u w:val="single"/>
        </w:rPr>
        <w:t>jamais</w:t>
      </w:r>
      <w:r>
        <w:t xml:space="preserve"> pour vous demander vos identifiants bancaires. </w:t>
      </w:r>
      <w:r w:rsidR="004A637A">
        <w:t>En cas de doute, contactez votre banque directement via leur site web.</w:t>
      </w:r>
    </w:p>
    <w:p w:rsidR="00653AE5" w:rsidRDefault="00653AE5" w:rsidP="00653AE5">
      <w:pPr>
        <w:tabs>
          <w:tab w:val="left" w:pos="4020"/>
        </w:tabs>
      </w:pPr>
    </w:p>
    <w:p w:rsidR="00336AC6" w:rsidRPr="004D7D17" w:rsidRDefault="004D7D17" w:rsidP="00336AC6">
      <w:pPr>
        <w:pStyle w:val="Paragraphedeliste"/>
        <w:numPr>
          <w:ilvl w:val="0"/>
          <w:numId w:val="1"/>
        </w:numPr>
        <w:tabs>
          <w:tab w:val="left" w:pos="4020"/>
        </w:tabs>
        <w:rPr>
          <w:b/>
          <w:sz w:val="24"/>
        </w:rPr>
      </w:pPr>
      <w:r>
        <w:rPr>
          <w:b/>
          <w:sz w:val="24"/>
        </w:rPr>
        <w:t xml:space="preserve">COMMENT </w:t>
      </w:r>
      <w:r w:rsidR="00336AC6" w:rsidRPr="004D7D17">
        <w:rPr>
          <w:b/>
          <w:sz w:val="24"/>
        </w:rPr>
        <w:t>FERMER UN COMPTE BANCAIRE</w:t>
      </w:r>
      <w:r>
        <w:rPr>
          <w:b/>
          <w:sz w:val="24"/>
        </w:rPr>
        <w:t> ?</w:t>
      </w:r>
    </w:p>
    <w:p w:rsidR="00336AC6" w:rsidRDefault="008D5384" w:rsidP="00336AC6">
      <w:pPr>
        <w:tabs>
          <w:tab w:val="left" w:pos="4020"/>
        </w:tabs>
      </w:pPr>
      <w:r>
        <w:t xml:space="preserve">Vous avez terminé vos études et souhaitez rentrer dans votre pays ? Vous voulez fermer votre compte bancaire ? </w:t>
      </w:r>
      <w:r w:rsidR="00653AE5">
        <w:t>La procédure est simple, mais doit être bien respectée.</w:t>
      </w:r>
    </w:p>
    <w:p w:rsidR="00653AE5" w:rsidRDefault="008D5384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Vérifiez que vous avez bien un nouveau compte ouvert, sur lequel verser vos fonds du compte français</w:t>
      </w:r>
    </w:p>
    <w:p w:rsidR="00653AE5" w:rsidRDefault="008D5384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Vérifiez que vos virements et prélèvements automatiques ont bien été transférés vers votre nouveau compte, ou annulés (loyer, téléphonie, assurance, etc.)</w:t>
      </w:r>
    </w:p>
    <w:p w:rsidR="00653AE5" w:rsidRDefault="008D5384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Informez les organismes et personnes qui vous versent des fonds (CAF, famille, employeur, etc.) de votre changement de compte</w:t>
      </w:r>
    </w:p>
    <w:p w:rsidR="00653AE5" w:rsidRDefault="0034223A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Téléchargez vos relevés bancaires et conservez-les</w:t>
      </w:r>
      <w:r w:rsidRPr="0034223A">
        <w:t xml:space="preserve"> </w:t>
      </w:r>
      <w:r w:rsidR="00653AE5">
        <w:t>(à garder au moins 5 ans)</w:t>
      </w:r>
    </w:p>
    <w:p w:rsidR="0034223A" w:rsidRDefault="0034223A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Préparez une lettre formelle de demande de clôture</w:t>
      </w:r>
    </w:p>
    <w:p w:rsidR="00653AE5" w:rsidRDefault="00653AE5" w:rsidP="00653AE5">
      <w:pPr>
        <w:pStyle w:val="Paragraphedeliste"/>
        <w:numPr>
          <w:ilvl w:val="1"/>
          <w:numId w:val="4"/>
        </w:numPr>
        <w:tabs>
          <w:tab w:val="left" w:pos="4020"/>
        </w:tabs>
      </w:pPr>
      <w:r>
        <w:t>De nombreux modèles sont disponibles en ligne (</w:t>
      </w:r>
      <w:hyperlink r:id="rId7" w:history="1">
        <w:r w:rsidRPr="002C71E1">
          <w:rPr>
            <w:rStyle w:val="Lienhypertexte"/>
          </w:rPr>
          <w:t>https://www.credit-agricole.fr/particulier/conseils/magazine/tout-un-mag/cloturer-un-compte-bancaire-les-2-scenarios-possibles.html</w:t>
        </w:r>
      </w:hyperlink>
      <w:r>
        <w:t xml:space="preserve">) </w:t>
      </w:r>
    </w:p>
    <w:p w:rsidR="008D5384" w:rsidRDefault="0034223A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Envoyez la lettre en recommandé à votre banque</w:t>
      </w:r>
    </w:p>
    <w:p w:rsidR="0034223A" w:rsidRDefault="0034223A" w:rsidP="00653AE5">
      <w:pPr>
        <w:pStyle w:val="Paragraphedeliste"/>
        <w:numPr>
          <w:ilvl w:val="0"/>
          <w:numId w:val="4"/>
        </w:numPr>
        <w:tabs>
          <w:tab w:val="left" w:pos="4020"/>
        </w:tabs>
      </w:pPr>
      <w:r>
        <w:t>Restituez vos chéquiers et carte bancaire</w:t>
      </w:r>
    </w:p>
    <w:p w:rsidR="0034223A" w:rsidRPr="00336AC6" w:rsidRDefault="0034223A" w:rsidP="0034223A">
      <w:pPr>
        <w:tabs>
          <w:tab w:val="left" w:pos="4020"/>
        </w:tabs>
      </w:pPr>
      <w:r>
        <w:t>La banque vous enverra une confirmation de clôture</w:t>
      </w:r>
      <w:r w:rsidR="00653AE5">
        <w:t xml:space="preserve"> par écrit. Votre compte est clôturé !</w:t>
      </w:r>
    </w:p>
    <w:sectPr w:rsidR="0034223A" w:rsidRPr="00336A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93" w:rsidRDefault="00932393" w:rsidP="00336AC6">
      <w:pPr>
        <w:spacing w:after="0" w:line="240" w:lineRule="auto"/>
      </w:pPr>
      <w:r>
        <w:separator/>
      </w:r>
    </w:p>
  </w:endnote>
  <w:endnote w:type="continuationSeparator" w:id="0">
    <w:p w:rsidR="00932393" w:rsidRDefault="00932393" w:rsidP="0033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 Pressura Regular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336AC6" w:rsidRPr="007512B5" w:rsidTr="00336AC6">
      <w:trPr>
        <w:trHeight w:val="485"/>
      </w:trPr>
      <w:tc>
        <w:tcPr>
          <w:tcW w:w="500" w:type="pct"/>
          <w:tcBorders>
            <w:top w:val="single" w:sz="4" w:space="0" w:color="943634"/>
          </w:tcBorders>
          <w:shd w:val="clear" w:color="auto" w:fill="4F81BD"/>
        </w:tcPr>
        <w:p w:rsidR="00336AC6" w:rsidRPr="007512B5" w:rsidRDefault="00336AC6" w:rsidP="00336AC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b/>
              <w:bCs/>
              <w:color w:val="FFFFFF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336AC6" w:rsidRPr="007512B5" w:rsidRDefault="00336AC6" w:rsidP="00336AC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T Pressura Regular" w:eastAsia="Times New Roman" w:hAnsi="GT Pressura Regular"/>
              <w:i/>
              <w:color w:val="000000"/>
              <w:sz w:val="18"/>
              <w:szCs w:val="24"/>
              <w:lang w:eastAsia="fr-FR"/>
            </w:rPr>
          </w:pPr>
          <w:r w:rsidRPr="007512B5">
            <w:rPr>
              <w:rFonts w:ascii="GT Pressura Regular" w:eastAsia="Times New Roman" w:hAnsi="GT Pressura Regular"/>
              <w:i/>
              <w:color w:val="000000"/>
              <w:sz w:val="18"/>
              <w:szCs w:val="24"/>
              <w:lang w:eastAsia="fr-FR"/>
            </w:rPr>
            <w:t>Le Centre de Mobilité Internationale de Brest a mis tout en œuvre pour s’assurer de l’exactitude des informations données ci-dessus mais ne peut pas être considéré comme responsable d’éventuelles erreurs.</w:t>
          </w:r>
        </w:p>
        <w:p w:rsidR="00336AC6" w:rsidRPr="007512B5" w:rsidRDefault="00336AC6" w:rsidP="00336AC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  <w:r w:rsidRPr="007512B5">
            <w:rPr>
              <w:rFonts w:ascii="GT Pressura Regular" w:eastAsia="Calibri" w:hAnsi="GT Pressura Regular"/>
            </w:rPr>
            <w:t xml:space="preserve">Mis à jour le </w:t>
          </w:r>
          <w:r w:rsidR="004D7D17">
            <w:rPr>
              <w:rFonts w:ascii="GT Pressura Regular" w:eastAsia="Calibri" w:hAnsi="GT Pressura Regular"/>
            </w:rPr>
            <w:t>29/11/2023</w:t>
          </w:r>
        </w:p>
      </w:tc>
    </w:tr>
  </w:tbl>
  <w:p w:rsidR="00336AC6" w:rsidRDefault="00336AC6" w:rsidP="00336A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93" w:rsidRDefault="00932393" w:rsidP="00336AC6">
      <w:pPr>
        <w:spacing w:after="0" w:line="240" w:lineRule="auto"/>
      </w:pPr>
      <w:r>
        <w:separator/>
      </w:r>
    </w:p>
  </w:footnote>
  <w:footnote w:type="continuationSeparator" w:id="0">
    <w:p w:rsidR="00932393" w:rsidRDefault="00932393" w:rsidP="0033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AC6" w:rsidRDefault="00FA31F7" w:rsidP="00FA31F7">
    <w:pPr>
      <w:pStyle w:val="En-tte"/>
    </w:pPr>
    <w:r>
      <w:rPr>
        <w:noProof/>
      </w:rPr>
      <w:drawing>
        <wp:inline distT="0" distB="0" distL="0" distR="0" wp14:anchorId="1334136A" wp14:editId="4FD97617">
          <wp:extent cx="1781175" cy="65324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070" cy="670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7FBB"/>
    <w:multiLevelType w:val="hybridMultilevel"/>
    <w:tmpl w:val="58CE39E2"/>
    <w:lvl w:ilvl="0" w:tplc="15A84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339F"/>
    <w:multiLevelType w:val="hybridMultilevel"/>
    <w:tmpl w:val="6450A97A"/>
    <w:lvl w:ilvl="0" w:tplc="A63E3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45B"/>
    <w:multiLevelType w:val="hybridMultilevel"/>
    <w:tmpl w:val="6444F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7175"/>
    <w:multiLevelType w:val="hybridMultilevel"/>
    <w:tmpl w:val="B3C4E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C6"/>
    <w:rsid w:val="00114416"/>
    <w:rsid w:val="002268A8"/>
    <w:rsid w:val="0024339F"/>
    <w:rsid w:val="00245122"/>
    <w:rsid w:val="00336AC6"/>
    <w:rsid w:val="0034223A"/>
    <w:rsid w:val="004A637A"/>
    <w:rsid w:val="004D14B3"/>
    <w:rsid w:val="004D7D17"/>
    <w:rsid w:val="004F2F95"/>
    <w:rsid w:val="00545566"/>
    <w:rsid w:val="00593F7A"/>
    <w:rsid w:val="005A54F3"/>
    <w:rsid w:val="005F1704"/>
    <w:rsid w:val="006044C0"/>
    <w:rsid w:val="00653AE5"/>
    <w:rsid w:val="00662E3F"/>
    <w:rsid w:val="0068620B"/>
    <w:rsid w:val="006C4E51"/>
    <w:rsid w:val="00772FB5"/>
    <w:rsid w:val="007A0B83"/>
    <w:rsid w:val="007A6013"/>
    <w:rsid w:val="007B020E"/>
    <w:rsid w:val="007D6013"/>
    <w:rsid w:val="008D5384"/>
    <w:rsid w:val="00914F21"/>
    <w:rsid w:val="00932393"/>
    <w:rsid w:val="00994E13"/>
    <w:rsid w:val="009A7A2D"/>
    <w:rsid w:val="009F3BBC"/>
    <w:rsid w:val="00A00DEB"/>
    <w:rsid w:val="00A27F59"/>
    <w:rsid w:val="00A8328B"/>
    <w:rsid w:val="00AF1296"/>
    <w:rsid w:val="00B2422C"/>
    <w:rsid w:val="00B633C9"/>
    <w:rsid w:val="00B931C6"/>
    <w:rsid w:val="00D017EC"/>
    <w:rsid w:val="00D94BD2"/>
    <w:rsid w:val="00DE6B0B"/>
    <w:rsid w:val="00DE7CCC"/>
    <w:rsid w:val="00DF2DB5"/>
    <w:rsid w:val="00E2449D"/>
    <w:rsid w:val="00E74245"/>
    <w:rsid w:val="00FA31F7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F4BC"/>
  <w15:chartTrackingRefBased/>
  <w15:docId w15:val="{EE1F4EB3-0E66-470D-9755-DA19CD1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AC6"/>
  </w:style>
  <w:style w:type="paragraph" w:styleId="Pieddepage">
    <w:name w:val="footer"/>
    <w:basedOn w:val="Normal"/>
    <w:link w:val="PieddepageCar"/>
    <w:uiPriority w:val="99"/>
    <w:unhideWhenUsed/>
    <w:rsid w:val="003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AC6"/>
  </w:style>
  <w:style w:type="paragraph" w:styleId="Paragraphedeliste">
    <w:name w:val="List Paragraph"/>
    <w:basedOn w:val="Normal"/>
    <w:uiPriority w:val="34"/>
    <w:qFormat/>
    <w:rsid w:val="00336A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2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53A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edit-agricole.fr/particulier/conseils/magazine/tout-un-mag/cloturer-un-compte-bancaire-les-2-scenarios-possib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Martin</dc:creator>
  <cp:keywords/>
  <dc:description/>
  <cp:lastModifiedBy>Salomé Martin</cp:lastModifiedBy>
  <cp:revision>11</cp:revision>
  <dcterms:created xsi:type="dcterms:W3CDTF">2023-11-23T14:27:00Z</dcterms:created>
  <dcterms:modified xsi:type="dcterms:W3CDTF">2023-11-29T15:27:00Z</dcterms:modified>
</cp:coreProperties>
</file>